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3DDD" w14:textId="727495FF" w:rsidR="000D4873" w:rsidRDefault="00A008EC" w:rsidP="00A008EC">
      <w:pPr>
        <w:ind w:firstLine="560"/>
        <w:jc w:val="center"/>
      </w:pPr>
      <w:proofErr w:type="gramStart"/>
      <w:r w:rsidRPr="00A008EC">
        <w:t>药企绿色</w:t>
      </w:r>
      <w:proofErr w:type="gramEnd"/>
      <w:r w:rsidRPr="00A008EC">
        <w:t>低碳制造解决方案</w:t>
      </w:r>
    </w:p>
    <w:p w14:paraId="0B5AA72A" w14:textId="77777777" w:rsidR="00A008EC" w:rsidRPr="00A008EC" w:rsidRDefault="00A008EC" w:rsidP="00A008EC">
      <w:pPr>
        <w:ind w:firstLine="560"/>
      </w:pPr>
      <w:r w:rsidRPr="00A008EC">
        <w:t>一、方案概述</w:t>
      </w:r>
      <w:r w:rsidRPr="00A008EC">
        <w:rPr>
          <w:rFonts w:ascii="Times New Roman" w:hAnsi="Times New Roman" w:cs="Times New Roman"/>
        </w:rPr>
        <w:t>​</w:t>
      </w:r>
    </w:p>
    <w:p w14:paraId="2FCB9CB3" w14:textId="77777777" w:rsidR="00A008EC" w:rsidRPr="00A008EC" w:rsidRDefault="00A008EC" w:rsidP="00A008EC">
      <w:pPr>
        <w:ind w:firstLine="560"/>
      </w:pPr>
      <w:r w:rsidRPr="00A008EC">
        <w:t>围绕</w:t>
      </w:r>
      <w:r w:rsidRPr="00A008EC">
        <w:t xml:space="preserve"> “</w:t>
      </w:r>
      <w:r w:rsidRPr="00A008EC">
        <w:t>双碳</w:t>
      </w:r>
      <w:r w:rsidRPr="00A008EC">
        <w:t xml:space="preserve">” </w:t>
      </w:r>
      <w:r w:rsidRPr="00A008EC">
        <w:t>目标及医药行业绿色工厂认证要求，本方案构建</w:t>
      </w:r>
      <w:r w:rsidRPr="00A008EC">
        <w:t xml:space="preserve"> “</w:t>
      </w:r>
      <w:r w:rsidRPr="00A008EC">
        <w:t>能源替代</w:t>
      </w:r>
      <w:r w:rsidRPr="00A008EC">
        <w:t xml:space="preserve"> + </w:t>
      </w:r>
      <w:r w:rsidRPr="00A008EC">
        <w:t>工艺优化</w:t>
      </w:r>
      <w:r w:rsidRPr="00A008EC">
        <w:t xml:space="preserve"> + </w:t>
      </w:r>
      <w:r w:rsidRPr="00A008EC">
        <w:t>资源循环</w:t>
      </w:r>
      <w:r w:rsidRPr="00A008EC">
        <w:t xml:space="preserve">” </w:t>
      </w:r>
      <w:r w:rsidRPr="00A008EC">
        <w:t>三维绿色制造体系，覆盖</w:t>
      </w:r>
      <w:proofErr w:type="gramStart"/>
      <w:r w:rsidRPr="00A008EC">
        <w:t>药企生产</w:t>
      </w:r>
      <w:proofErr w:type="gramEnd"/>
      <w:r w:rsidRPr="00A008EC">
        <w:t>全流程（原料药合成、制剂生产、辅助系统）。能源端通过光伏电站、</w:t>
      </w:r>
      <w:proofErr w:type="gramStart"/>
      <w:r w:rsidRPr="00A008EC">
        <w:t>绿电采购</w:t>
      </w:r>
      <w:proofErr w:type="gramEnd"/>
      <w:r w:rsidRPr="00A008EC">
        <w:t>实现清洁能源覆盖；工艺</w:t>
      </w:r>
      <w:proofErr w:type="gramStart"/>
      <w:r w:rsidRPr="00A008EC">
        <w:t>端采用</w:t>
      </w:r>
      <w:proofErr w:type="gramEnd"/>
      <w:r w:rsidRPr="00A008EC">
        <w:t>低毒溶剂替代、绿色催化技术减少污染物排放；资源端搭建中水回用、溶剂回收、固废资源化系统，实现</w:t>
      </w:r>
      <w:r w:rsidRPr="00A008EC">
        <w:t xml:space="preserve"> “</w:t>
      </w:r>
      <w:r w:rsidRPr="00A008EC">
        <w:t>降碳、减污、扩绿、增长</w:t>
      </w:r>
      <w:r w:rsidRPr="00A008EC">
        <w:t xml:space="preserve">” </w:t>
      </w:r>
      <w:r w:rsidRPr="00A008EC">
        <w:t>协同。已服务国药太极、国药致君、兰州生物制品研究所等企业，某制剂</w:t>
      </w:r>
      <w:proofErr w:type="gramStart"/>
      <w:r w:rsidRPr="00A008EC">
        <w:t>厂应用后单位</w:t>
      </w:r>
      <w:proofErr w:type="gramEnd"/>
      <w:r w:rsidRPr="00A008EC">
        <w:t>产值能耗降低</w:t>
      </w:r>
      <w:r w:rsidRPr="00A008EC">
        <w:t xml:space="preserve"> 32%</w:t>
      </w:r>
      <w:r w:rsidRPr="00A008EC">
        <w:t>，成功获评</w:t>
      </w:r>
      <w:r w:rsidRPr="00A008EC">
        <w:t xml:space="preserve"> “</w:t>
      </w:r>
      <w:r w:rsidRPr="00A008EC">
        <w:t>国家级绿色工厂</w:t>
      </w:r>
      <w:r w:rsidRPr="00A008EC">
        <w:t>”</w:t>
      </w:r>
      <w:r w:rsidRPr="00A008EC">
        <w:t>。</w:t>
      </w:r>
      <w:r w:rsidRPr="00A008EC">
        <w:rPr>
          <w:rFonts w:ascii="Times New Roman" w:hAnsi="Times New Roman" w:cs="Times New Roman"/>
        </w:rPr>
        <w:t>​</w:t>
      </w:r>
    </w:p>
    <w:p w14:paraId="31473979" w14:textId="77777777" w:rsidR="00A008EC" w:rsidRPr="00A008EC" w:rsidRDefault="00A008EC" w:rsidP="00A008EC">
      <w:pPr>
        <w:ind w:firstLine="560"/>
      </w:pPr>
      <w:r w:rsidRPr="00A008EC">
        <w:t>二、方案特点</w:t>
      </w:r>
      <w:r w:rsidRPr="00A008EC">
        <w:rPr>
          <w:rFonts w:ascii="Times New Roman" w:hAnsi="Times New Roman" w:cs="Times New Roman"/>
        </w:rPr>
        <w:t>​</w:t>
      </w:r>
    </w:p>
    <w:p w14:paraId="1474A483" w14:textId="77777777" w:rsidR="00A008EC" w:rsidRPr="00A008EC" w:rsidRDefault="00A008EC" w:rsidP="00A008EC">
      <w:pPr>
        <w:numPr>
          <w:ilvl w:val="0"/>
          <w:numId w:val="6"/>
        </w:numPr>
        <w:ind w:firstLine="562"/>
      </w:pPr>
      <w:r w:rsidRPr="00A008EC">
        <w:rPr>
          <w:b/>
          <w:bCs/>
        </w:rPr>
        <w:t>全维</w:t>
      </w:r>
      <w:proofErr w:type="gramStart"/>
      <w:r w:rsidRPr="00A008EC">
        <w:rPr>
          <w:b/>
          <w:bCs/>
        </w:rPr>
        <w:t>度减碳</w:t>
      </w:r>
      <w:proofErr w:type="gramEnd"/>
      <w:r w:rsidRPr="00A008EC">
        <w:t>：覆盖能源消耗（电、蒸汽）、工艺排放（</w:t>
      </w:r>
      <w:r w:rsidRPr="00A008EC">
        <w:t>VOCs</w:t>
      </w:r>
      <w:r w:rsidRPr="00A008EC">
        <w:t>、</w:t>
      </w:r>
      <w:r w:rsidRPr="00A008EC">
        <w:t>CO</w:t>
      </w:r>
      <w:r w:rsidRPr="00A008EC">
        <w:rPr>
          <w:rFonts w:ascii="Cambria Math" w:hAnsi="Cambria Math" w:cs="Cambria Math"/>
        </w:rPr>
        <w:t>₂</w:t>
      </w:r>
      <w:r w:rsidRPr="00A008EC">
        <w:t>）、资源消耗（水、溶剂），实现碳足迹全生命周期管理；</w:t>
      </w:r>
      <w:r w:rsidRPr="00A008EC">
        <w:rPr>
          <w:rFonts w:ascii="Times New Roman" w:hAnsi="Times New Roman" w:cs="Times New Roman"/>
        </w:rPr>
        <w:t>​</w:t>
      </w:r>
    </w:p>
    <w:p w14:paraId="59D7E8FD" w14:textId="77777777" w:rsidR="00A008EC" w:rsidRPr="00A008EC" w:rsidRDefault="00A008EC" w:rsidP="00A008EC">
      <w:pPr>
        <w:numPr>
          <w:ilvl w:val="0"/>
          <w:numId w:val="7"/>
        </w:numPr>
        <w:ind w:firstLine="562"/>
      </w:pPr>
      <w:r w:rsidRPr="00A008EC">
        <w:rPr>
          <w:b/>
          <w:bCs/>
        </w:rPr>
        <w:t>合</w:t>
      </w:r>
      <w:proofErr w:type="gramStart"/>
      <w:r w:rsidRPr="00A008EC">
        <w:rPr>
          <w:b/>
          <w:bCs/>
        </w:rPr>
        <w:t>规</w:t>
      </w:r>
      <w:proofErr w:type="gramEnd"/>
      <w:r w:rsidRPr="00A008EC">
        <w:rPr>
          <w:b/>
          <w:bCs/>
        </w:rPr>
        <w:t>性强</w:t>
      </w:r>
      <w:r w:rsidRPr="00A008EC">
        <w:t>：完全符合《绿色工厂评价要求》（</w:t>
      </w:r>
      <w:r w:rsidRPr="00A008EC">
        <w:t>GB/T 36132-2018</w:t>
      </w:r>
      <w:r w:rsidRPr="00A008EC">
        <w:t>）、《医药工业绿色工厂评价导则》，助力企业获取绿色工厂、</w:t>
      </w:r>
      <w:r w:rsidRPr="00A008EC">
        <w:t xml:space="preserve">ESG </w:t>
      </w:r>
      <w:r w:rsidRPr="00A008EC">
        <w:t>评级加分；</w:t>
      </w:r>
      <w:r w:rsidRPr="00A008EC">
        <w:rPr>
          <w:rFonts w:ascii="Times New Roman" w:hAnsi="Times New Roman" w:cs="Times New Roman"/>
        </w:rPr>
        <w:t>​</w:t>
      </w:r>
    </w:p>
    <w:p w14:paraId="4B1222FA" w14:textId="77777777" w:rsidR="00A008EC" w:rsidRPr="00A008EC" w:rsidRDefault="00A008EC" w:rsidP="00A008EC">
      <w:pPr>
        <w:numPr>
          <w:ilvl w:val="0"/>
          <w:numId w:val="8"/>
        </w:numPr>
        <w:ind w:firstLine="562"/>
      </w:pPr>
      <w:r w:rsidRPr="00A008EC">
        <w:rPr>
          <w:b/>
          <w:bCs/>
        </w:rPr>
        <w:t>经济性优</w:t>
      </w:r>
      <w:r w:rsidRPr="00A008EC">
        <w:t>：通过资源循环利用（如溶剂回收）降低原材料采购成本，清洁能源应用降低电费支出，投资回收期平均</w:t>
      </w:r>
      <w:r w:rsidRPr="00A008EC">
        <w:t xml:space="preserve"> 3-5 </w:t>
      </w:r>
      <w:r w:rsidRPr="00A008EC">
        <w:t>年；</w:t>
      </w:r>
      <w:r w:rsidRPr="00A008EC">
        <w:rPr>
          <w:rFonts w:ascii="Times New Roman" w:hAnsi="Times New Roman" w:cs="Times New Roman"/>
        </w:rPr>
        <w:t>​</w:t>
      </w:r>
    </w:p>
    <w:p w14:paraId="11D4AE55" w14:textId="77777777" w:rsidR="00A008EC" w:rsidRPr="00A008EC" w:rsidRDefault="00A008EC" w:rsidP="00A008EC">
      <w:pPr>
        <w:numPr>
          <w:ilvl w:val="0"/>
          <w:numId w:val="9"/>
        </w:numPr>
        <w:ind w:firstLine="562"/>
      </w:pPr>
      <w:r w:rsidRPr="00A008EC">
        <w:rPr>
          <w:b/>
          <w:bCs/>
        </w:rPr>
        <w:t>定制化</w:t>
      </w:r>
      <w:r w:rsidRPr="00A008EC">
        <w:t>：根据企业产品类型（原料药</w:t>
      </w:r>
      <w:r w:rsidRPr="00A008EC">
        <w:t xml:space="preserve"> / </w:t>
      </w:r>
      <w:r w:rsidRPr="00A008EC">
        <w:t>制剂）、生产规模、地域资源（如光照条件）定制方案，避免</w:t>
      </w:r>
      <w:r w:rsidRPr="00A008EC">
        <w:t xml:space="preserve"> “</w:t>
      </w:r>
      <w:r w:rsidRPr="00A008EC">
        <w:t>一刀切</w:t>
      </w:r>
      <w:r w:rsidRPr="00A008EC">
        <w:t>”</w:t>
      </w:r>
      <w:r w:rsidRPr="00A008EC">
        <w:t>。</w:t>
      </w:r>
      <w:r w:rsidRPr="00A008EC">
        <w:rPr>
          <w:rFonts w:ascii="Times New Roman" w:hAnsi="Times New Roman" w:cs="Times New Roman"/>
        </w:rPr>
        <w:t>​</w:t>
      </w:r>
    </w:p>
    <w:p w14:paraId="2730C0BB" w14:textId="77777777" w:rsidR="00A008EC" w:rsidRPr="00A008EC" w:rsidRDefault="00A008EC" w:rsidP="00A008EC">
      <w:pPr>
        <w:ind w:firstLine="560"/>
      </w:pPr>
      <w:r w:rsidRPr="00A008EC">
        <w:lastRenderedPageBreak/>
        <w:t>三、核心功能模块</w:t>
      </w:r>
      <w:r w:rsidRPr="00A008EC">
        <w:rPr>
          <w:rFonts w:ascii="Times New Roman" w:hAnsi="Times New Roman" w:cs="Times New Roman"/>
        </w:rPr>
        <w:t>​</w:t>
      </w:r>
    </w:p>
    <w:p w14:paraId="145E9536" w14:textId="77777777" w:rsidR="00A008EC" w:rsidRPr="00A008EC" w:rsidRDefault="00A008EC" w:rsidP="00A008EC">
      <w:pPr>
        <w:numPr>
          <w:ilvl w:val="0"/>
          <w:numId w:val="10"/>
        </w:numPr>
        <w:ind w:firstLine="562"/>
      </w:pPr>
      <w:r w:rsidRPr="00A008EC">
        <w:rPr>
          <w:b/>
          <w:bCs/>
        </w:rPr>
        <w:t>清洁能源替代模块</w:t>
      </w:r>
      <w:r w:rsidRPr="00A008EC">
        <w:t>：</w:t>
      </w:r>
      <w:r w:rsidRPr="00A008EC">
        <w:rPr>
          <w:rFonts w:ascii="Times New Roman" w:hAnsi="Times New Roman" w:cs="Times New Roman"/>
        </w:rPr>
        <w:t>​</w:t>
      </w:r>
    </w:p>
    <w:p w14:paraId="0B8EF2D7" w14:textId="77777777" w:rsidR="00A008EC" w:rsidRPr="00A008EC" w:rsidRDefault="00A008EC" w:rsidP="00A008EC">
      <w:pPr>
        <w:numPr>
          <w:ilvl w:val="0"/>
          <w:numId w:val="11"/>
        </w:numPr>
        <w:ind w:firstLine="560"/>
      </w:pPr>
      <w:r w:rsidRPr="00A008EC">
        <w:t>分布式光伏电站：在厂房屋顶、停车场</w:t>
      </w:r>
      <w:proofErr w:type="gramStart"/>
      <w:r w:rsidRPr="00A008EC">
        <w:t>搭建光</w:t>
      </w:r>
      <w:proofErr w:type="gramEnd"/>
      <w:r w:rsidRPr="00A008EC">
        <w:t>伏板，配套储能系统（锂电池</w:t>
      </w:r>
      <w:r w:rsidRPr="00A008EC">
        <w:t xml:space="preserve"> / </w:t>
      </w:r>
      <w:r w:rsidRPr="00A008EC">
        <w:t>钒液流电池），满足企业</w:t>
      </w:r>
      <w:r w:rsidRPr="00A008EC">
        <w:t xml:space="preserve"> 30%-50% </w:t>
      </w:r>
      <w:r w:rsidRPr="00A008EC">
        <w:t>用电需求，国药太极光伏电站年发电</w:t>
      </w:r>
      <w:r w:rsidRPr="00A008EC">
        <w:t xml:space="preserve"> 500 </w:t>
      </w:r>
      <w:r w:rsidRPr="00A008EC">
        <w:t>万度，减排</w:t>
      </w:r>
      <w:r w:rsidRPr="00A008EC">
        <w:t xml:space="preserve"> CO</w:t>
      </w:r>
      <w:r w:rsidRPr="00A008EC">
        <w:rPr>
          <w:rFonts w:ascii="Cambria Math" w:hAnsi="Cambria Math" w:cs="Cambria Math"/>
        </w:rPr>
        <w:t>₂</w:t>
      </w:r>
      <w:r w:rsidRPr="00A008EC">
        <w:t xml:space="preserve"> 4000 </w:t>
      </w:r>
      <w:r w:rsidRPr="00A008EC">
        <w:t>吨；</w:t>
      </w:r>
      <w:r w:rsidRPr="00A008EC">
        <w:rPr>
          <w:rFonts w:ascii="Times New Roman" w:hAnsi="Times New Roman" w:cs="Times New Roman"/>
        </w:rPr>
        <w:t>​</w:t>
      </w:r>
    </w:p>
    <w:p w14:paraId="0606DAC1" w14:textId="77777777" w:rsidR="00A008EC" w:rsidRPr="00A008EC" w:rsidRDefault="00A008EC" w:rsidP="00A008EC">
      <w:pPr>
        <w:numPr>
          <w:ilvl w:val="0"/>
          <w:numId w:val="12"/>
        </w:numPr>
        <w:ind w:firstLine="560"/>
      </w:pPr>
      <w:proofErr w:type="gramStart"/>
      <w:r w:rsidRPr="00A008EC">
        <w:t>绿电采购</w:t>
      </w:r>
      <w:proofErr w:type="gramEnd"/>
      <w:r w:rsidRPr="00A008EC">
        <w:t>：对接地方</w:t>
      </w:r>
      <w:proofErr w:type="gramStart"/>
      <w:r w:rsidRPr="00A008EC">
        <w:t>绿电交易</w:t>
      </w:r>
      <w:proofErr w:type="gramEnd"/>
      <w:r w:rsidRPr="00A008EC">
        <w:t>平台，协助企业采购风电、光伏电，获取</w:t>
      </w:r>
      <w:proofErr w:type="gramStart"/>
      <w:r w:rsidRPr="00A008EC">
        <w:t>绿电证书</w:t>
      </w:r>
      <w:proofErr w:type="gramEnd"/>
      <w:r w:rsidRPr="00A008EC">
        <w:t>（用于绿色工厂认证）；</w:t>
      </w:r>
      <w:r w:rsidRPr="00A008EC">
        <w:rPr>
          <w:rFonts w:ascii="Times New Roman" w:hAnsi="Times New Roman" w:cs="Times New Roman"/>
        </w:rPr>
        <w:t>​</w:t>
      </w:r>
    </w:p>
    <w:p w14:paraId="5002DDE0" w14:textId="77777777" w:rsidR="00A008EC" w:rsidRPr="00A008EC" w:rsidRDefault="00A008EC" w:rsidP="00A008EC">
      <w:pPr>
        <w:numPr>
          <w:ilvl w:val="0"/>
          <w:numId w:val="13"/>
        </w:numPr>
        <w:ind w:firstLine="560"/>
      </w:pPr>
      <w:r w:rsidRPr="00A008EC">
        <w:t>蒸汽优化：采用生物质锅炉（替代燃煤锅炉），或对接园区集中供热（减少自备锅炉排放）；</w:t>
      </w:r>
      <w:r w:rsidRPr="00A008EC">
        <w:rPr>
          <w:rFonts w:ascii="Times New Roman" w:hAnsi="Times New Roman" w:cs="Times New Roman"/>
        </w:rPr>
        <w:t>​</w:t>
      </w:r>
    </w:p>
    <w:p w14:paraId="1906CA52" w14:textId="77777777" w:rsidR="00A008EC" w:rsidRPr="00A008EC" w:rsidRDefault="00A008EC" w:rsidP="00A008EC">
      <w:pPr>
        <w:numPr>
          <w:ilvl w:val="0"/>
          <w:numId w:val="14"/>
        </w:numPr>
        <w:ind w:firstLine="562"/>
      </w:pPr>
      <w:r w:rsidRPr="00A008EC">
        <w:rPr>
          <w:b/>
          <w:bCs/>
        </w:rPr>
        <w:t>工艺绿色优化模块</w:t>
      </w:r>
      <w:r w:rsidRPr="00A008EC">
        <w:t>：</w:t>
      </w:r>
      <w:r w:rsidRPr="00A008EC">
        <w:rPr>
          <w:rFonts w:ascii="Times New Roman" w:hAnsi="Times New Roman" w:cs="Times New Roman"/>
        </w:rPr>
        <w:t>​</w:t>
      </w:r>
    </w:p>
    <w:p w14:paraId="348C6D81" w14:textId="77777777" w:rsidR="00A008EC" w:rsidRPr="00A008EC" w:rsidRDefault="00A008EC" w:rsidP="00A008EC">
      <w:pPr>
        <w:numPr>
          <w:ilvl w:val="0"/>
          <w:numId w:val="15"/>
        </w:numPr>
        <w:ind w:firstLine="560"/>
      </w:pPr>
      <w:r w:rsidRPr="00A008EC">
        <w:t>溶剂替代：用</w:t>
      </w:r>
      <w:r w:rsidRPr="00A008EC">
        <w:t xml:space="preserve"> “</w:t>
      </w:r>
      <w:r w:rsidRPr="00A008EC">
        <w:t>水相反应</w:t>
      </w:r>
      <w:r w:rsidRPr="00A008EC">
        <w:t xml:space="preserve">” </w:t>
      </w:r>
      <w:r w:rsidRPr="00A008EC">
        <w:t>替代</w:t>
      </w:r>
      <w:r w:rsidRPr="00A008EC">
        <w:t xml:space="preserve"> “</w:t>
      </w:r>
      <w:r w:rsidRPr="00A008EC">
        <w:t>有机溶剂反应</w:t>
      </w:r>
      <w:r w:rsidRPr="00A008EC">
        <w:t>”</w:t>
      </w:r>
      <w:r w:rsidRPr="00A008EC">
        <w:t>（如国药致君</w:t>
      </w:r>
      <w:r w:rsidRPr="00A008EC">
        <w:t xml:space="preserve"> “</w:t>
      </w:r>
      <w:r w:rsidRPr="00A008EC">
        <w:t>醇改水</w:t>
      </w:r>
      <w:r w:rsidRPr="00A008EC">
        <w:t xml:space="preserve">” </w:t>
      </w:r>
      <w:r w:rsidRPr="00A008EC">
        <w:t>技术），</w:t>
      </w:r>
      <w:proofErr w:type="gramStart"/>
      <w:r w:rsidRPr="00A008EC">
        <w:t>年减</w:t>
      </w:r>
      <w:proofErr w:type="gramEnd"/>
      <w:r w:rsidRPr="00A008EC">
        <w:t xml:space="preserve"> VOCs </w:t>
      </w:r>
      <w:r w:rsidRPr="00A008EC">
        <w:t>排放</w:t>
      </w:r>
      <w:r w:rsidRPr="00A008EC">
        <w:t xml:space="preserve"> 1.98 </w:t>
      </w:r>
      <w:r w:rsidRPr="00A008EC">
        <w:t>吨；</w:t>
      </w:r>
      <w:r w:rsidRPr="00A008EC">
        <w:rPr>
          <w:rFonts w:ascii="Times New Roman" w:hAnsi="Times New Roman" w:cs="Times New Roman"/>
        </w:rPr>
        <w:t>​</w:t>
      </w:r>
    </w:p>
    <w:p w14:paraId="0A51ACCF" w14:textId="77777777" w:rsidR="00A008EC" w:rsidRPr="00A008EC" w:rsidRDefault="00A008EC" w:rsidP="00A008EC">
      <w:pPr>
        <w:numPr>
          <w:ilvl w:val="0"/>
          <w:numId w:val="16"/>
        </w:numPr>
        <w:ind w:firstLine="560"/>
      </w:pPr>
      <w:r w:rsidRPr="00A008EC">
        <w:t>绿色催化：采用酶催化、金属有机框架（</w:t>
      </w:r>
      <w:r w:rsidRPr="00A008EC">
        <w:t>MOFs</w:t>
      </w:r>
      <w:r w:rsidRPr="00A008EC">
        <w:t>）催化剂，减少催化剂毒性及用量，某原料药企业催化成本降低</w:t>
      </w:r>
      <w:r w:rsidRPr="00A008EC">
        <w:t xml:space="preserve"> 40%</w:t>
      </w:r>
      <w:r w:rsidRPr="00A008EC">
        <w:t>；</w:t>
      </w:r>
      <w:r w:rsidRPr="00A008EC">
        <w:rPr>
          <w:rFonts w:ascii="Times New Roman" w:hAnsi="Times New Roman" w:cs="Times New Roman"/>
        </w:rPr>
        <w:t>​</w:t>
      </w:r>
    </w:p>
    <w:p w14:paraId="7A5F247D" w14:textId="77777777" w:rsidR="00A008EC" w:rsidRPr="00A008EC" w:rsidRDefault="00A008EC" w:rsidP="00A008EC">
      <w:pPr>
        <w:numPr>
          <w:ilvl w:val="0"/>
          <w:numId w:val="17"/>
        </w:numPr>
        <w:ind w:firstLine="560"/>
      </w:pPr>
      <w:r w:rsidRPr="00A008EC">
        <w:t>余热回收：在反应釜、干燥设备出口安装余热换热器，回收热量用于预热物料或供暖，年节蒸汽</w:t>
      </w:r>
      <w:r w:rsidRPr="00A008EC">
        <w:t xml:space="preserve"> 1.2 </w:t>
      </w:r>
      <w:r w:rsidRPr="00A008EC">
        <w:t>万吨；</w:t>
      </w:r>
      <w:r w:rsidRPr="00A008EC">
        <w:rPr>
          <w:rFonts w:ascii="Times New Roman" w:hAnsi="Times New Roman" w:cs="Times New Roman"/>
        </w:rPr>
        <w:t>​</w:t>
      </w:r>
    </w:p>
    <w:p w14:paraId="2F07BE75" w14:textId="77777777" w:rsidR="00A008EC" w:rsidRPr="00A008EC" w:rsidRDefault="00A008EC" w:rsidP="00A008EC">
      <w:pPr>
        <w:numPr>
          <w:ilvl w:val="0"/>
          <w:numId w:val="18"/>
        </w:numPr>
        <w:ind w:firstLine="562"/>
      </w:pPr>
      <w:r w:rsidRPr="00A008EC">
        <w:rPr>
          <w:b/>
          <w:bCs/>
        </w:rPr>
        <w:t>资源循环利用模块</w:t>
      </w:r>
      <w:r w:rsidRPr="00A008EC">
        <w:t>：</w:t>
      </w:r>
      <w:r w:rsidRPr="00A008EC">
        <w:rPr>
          <w:rFonts w:ascii="Times New Roman" w:hAnsi="Times New Roman" w:cs="Times New Roman"/>
        </w:rPr>
        <w:t>​</w:t>
      </w:r>
    </w:p>
    <w:p w14:paraId="57224979" w14:textId="77777777" w:rsidR="00A008EC" w:rsidRPr="00A008EC" w:rsidRDefault="00A008EC" w:rsidP="00A008EC">
      <w:pPr>
        <w:numPr>
          <w:ilvl w:val="0"/>
          <w:numId w:val="19"/>
        </w:numPr>
        <w:ind w:firstLine="560"/>
      </w:pPr>
      <w:r w:rsidRPr="00A008EC">
        <w:t>中水回用系统：收集生产废水（如设备清洗水），经</w:t>
      </w:r>
      <w:r w:rsidRPr="00A008EC">
        <w:t xml:space="preserve"> “</w:t>
      </w:r>
      <w:r w:rsidRPr="00A008EC">
        <w:t>预处理</w:t>
      </w:r>
      <w:r w:rsidRPr="00A008EC">
        <w:t xml:space="preserve"> + </w:t>
      </w:r>
      <w:r w:rsidRPr="00A008EC">
        <w:t>膜过滤</w:t>
      </w:r>
      <w:r w:rsidRPr="00A008EC">
        <w:t xml:space="preserve"> + </w:t>
      </w:r>
      <w:r w:rsidRPr="00A008EC">
        <w:t>消毒</w:t>
      </w:r>
      <w:r w:rsidRPr="00A008EC">
        <w:t xml:space="preserve">” </w:t>
      </w:r>
      <w:r w:rsidRPr="00A008EC">
        <w:t>处理后，用于绿化灌溉、设备冷却，兰州生物制品研究所回用率达</w:t>
      </w:r>
      <w:r w:rsidRPr="00A008EC">
        <w:t xml:space="preserve"> 92%</w:t>
      </w:r>
      <w:r w:rsidRPr="00A008EC">
        <w:t>；</w:t>
      </w:r>
      <w:r w:rsidRPr="00A008EC">
        <w:rPr>
          <w:rFonts w:ascii="Times New Roman" w:hAnsi="Times New Roman" w:cs="Times New Roman"/>
        </w:rPr>
        <w:t>​</w:t>
      </w:r>
    </w:p>
    <w:p w14:paraId="59697EEC" w14:textId="77777777" w:rsidR="00A008EC" w:rsidRPr="00A008EC" w:rsidRDefault="00A008EC" w:rsidP="00A008EC">
      <w:pPr>
        <w:numPr>
          <w:ilvl w:val="0"/>
          <w:numId w:val="20"/>
        </w:numPr>
        <w:ind w:firstLine="560"/>
      </w:pPr>
      <w:r w:rsidRPr="00A008EC">
        <w:t>溶剂回收系统：采用精馏、吸附技术回收反应废溶剂（如</w:t>
      </w:r>
      <w:r w:rsidRPr="00A008EC">
        <w:lastRenderedPageBreak/>
        <w:t>乙醇、丙酮），回收率达</w:t>
      </w:r>
      <w:r w:rsidRPr="00A008EC">
        <w:t xml:space="preserve"> 95% </w:t>
      </w:r>
      <w:r w:rsidRPr="00A008EC">
        <w:t>以上，年减少溶剂采购量</w:t>
      </w:r>
      <w:r w:rsidRPr="00A008EC">
        <w:t xml:space="preserve"> 800 </w:t>
      </w:r>
      <w:r w:rsidRPr="00A008EC">
        <w:t>吨；</w:t>
      </w:r>
      <w:r w:rsidRPr="00A008EC">
        <w:rPr>
          <w:rFonts w:ascii="Times New Roman" w:hAnsi="Times New Roman" w:cs="Times New Roman"/>
        </w:rPr>
        <w:t>​</w:t>
      </w:r>
    </w:p>
    <w:p w14:paraId="3F370704" w14:textId="77777777" w:rsidR="00A008EC" w:rsidRPr="00A008EC" w:rsidRDefault="00A008EC" w:rsidP="00A008EC">
      <w:pPr>
        <w:numPr>
          <w:ilvl w:val="0"/>
          <w:numId w:val="21"/>
        </w:numPr>
        <w:ind w:firstLine="560"/>
      </w:pPr>
      <w:r w:rsidRPr="00A008EC">
        <w:t>固废资源化：将药渣、废活性炭等固废交由资质企业处理，或转化为生物质燃料（如药渣制沼气），固废处置成本降低</w:t>
      </w:r>
      <w:r w:rsidRPr="00A008EC">
        <w:t xml:space="preserve"> 30%</w:t>
      </w:r>
      <w:r w:rsidRPr="00A008EC">
        <w:t>；</w:t>
      </w:r>
      <w:r w:rsidRPr="00A008EC">
        <w:rPr>
          <w:rFonts w:ascii="Times New Roman" w:hAnsi="Times New Roman" w:cs="Times New Roman"/>
        </w:rPr>
        <w:t>​</w:t>
      </w:r>
    </w:p>
    <w:p w14:paraId="3D14F1C8" w14:textId="77777777" w:rsidR="00A008EC" w:rsidRPr="00A008EC" w:rsidRDefault="00A008EC" w:rsidP="00A008EC">
      <w:pPr>
        <w:numPr>
          <w:ilvl w:val="0"/>
          <w:numId w:val="22"/>
        </w:numPr>
        <w:ind w:firstLine="562"/>
      </w:pPr>
      <w:proofErr w:type="gramStart"/>
      <w:r w:rsidRPr="00A008EC">
        <w:rPr>
          <w:b/>
          <w:bCs/>
        </w:rPr>
        <w:t>碳管理</w:t>
      </w:r>
      <w:proofErr w:type="gramEnd"/>
      <w:r w:rsidRPr="00A008EC">
        <w:rPr>
          <w:b/>
          <w:bCs/>
        </w:rPr>
        <w:t>模块</w:t>
      </w:r>
      <w:r w:rsidRPr="00A008EC">
        <w:t>：</w:t>
      </w:r>
      <w:r w:rsidRPr="00A008EC">
        <w:rPr>
          <w:rFonts w:ascii="Times New Roman" w:hAnsi="Times New Roman" w:cs="Times New Roman"/>
        </w:rPr>
        <w:t>​</w:t>
      </w:r>
    </w:p>
    <w:p w14:paraId="678C4A83" w14:textId="77777777" w:rsidR="00A008EC" w:rsidRPr="00A008EC" w:rsidRDefault="00A008EC" w:rsidP="00A008EC">
      <w:pPr>
        <w:numPr>
          <w:ilvl w:val="0"/>
          <w:numId w:val="23"/>
        </w:numPr>
        <w:ind w:firstLine="560"/>
      </w:pPr>
      <w:r w:rsidRPr="00A008EC">
        <w:t>碳足迹核算：自动采集能源消耗、工艺排放数据，计算产品碳足迹（符合</w:t>
      </w:r>
      <w:r w:rsidRPr="00A008EC">
        <w:t xml:space="preserve"> ISO 14067</w:t>
      </w:r>
      <w:r w:rsidRPr="00A008EC">
        <w:t>）；</w:t>
      </w:r>
      <w:r w:rsidRPr="00A008EC">
        <w:rPr>
          <w:rFonts w:ascii="Times New Roman" w:hAnsi="Times New Roman" w:cs="Times New Roman"/>
        </w:rPr>
        <w:t>​</w:t>
      </w:r>
    </w:p>
    <w:p w14:paraId="0C138106" w14:textId="77777777" w:rsidR="00A008EC" w:rsidRPr="00A008EC" w:rsidRDefault="00A008EC" w:rsidP="00A008EC">
      <w:pPr>
        <w:numPr>
          <w:ilvl w:val="0"/>
          <w:numId w:val="24"/>
        </w:numPr>
        <w:ind w:firstLine="560"/>
      </w:pPr>
      <w:proofErr w:type="gramStart"/>
      <w:r w:rsidRPr="00A008EC">
        <w:t>减碳规划</w:t>
      </w:r>
      <w:proofErr w:type="gramEnd"/>
      <w:r w:rsidRPr="00A008EC">
        <w:t>：制定年度</w:t>
      </w:r>
      <w:proofErr w:type="gramStart"/>
      <w:r w:rsidRPr="00A008EC">
        <w:t>减碳目标</w:t>
      </w:r>
      <w:proofErr w:type="gramEnd"/>
      <w:r w:rsidRPr="00A008EC">
        <w:t>及路径（如</w:t>
      </w:r>
      <w:r w:rsidRPr="00A008EC">
        <w:t xml:space="preserve"> 2027 </w:t>
      </w:r>
      <w:proofErr w:type="gramStart"/>
      <w:r w:rsidRPr="00A008EC">
        <w:t>年碳达</w:t>
      </w:r>
      <w:proofErr w:type="gramEnd"/>
      <w:r w:rsidRPr="00A008EC">
        <w:t>峰、</w:t>
      </w:r>
      <w:r w:rsidRPr="00A008EC">
        <w:t xml:space="preserve">2050 </w:t>
      </w:r>
      <w:proofErr w:type="gramStart"/>
      <w:r w:rsidRPr="00A008EC">
        <w:t>年碳中和</w:t>
      </w:r>
      <w:proofErr w:type="gramEnd"/>
      <w:r w:rsidRPr="00A008EC">
        <w:t>），输出《企业减碳实施方案》；</w:t>
      </w:r>
      <w:r w:rsidRPr="00A008EC">
        <w:rPr>
          <w:rFonts w:ascii="Times New Roman" w:hAnsi="Times New Roman" w:cs="Times New Roman"/>
        </w:rPr>
        <w:t>​</w:t>
      </w:r>
    </w:p>
    <w:p w14:paraId="63497933" w14:textId="77777777" w:rsidR="00A008EC" w:rsidRPr="00A008EC" w:rsidRDefault="00A008EC" w:rsidP="00A008EC">
      <w:pPr>
        <w:numPr>
          <w:ilvl w:val="0"/>
          <w:numId w:val="25"/>
        </w:numPr>
        <w:ind w:firstLine="560"/>
      </w:pPr>
      <w:r w:rsidRPr="00A008EC">
        <w:t xml:space="preserve">ESG </w:t>
      </w:r>
      <w:r w:rsidRPr="00A008EC">
        <w:t>报告支持：自动</w:t>
      </w:r>
      <w:proofErr w:type="gramStart"/>
      <w:r w:rsidRPr="00A008EC">
        <w:t>生成碳减排</w:t>
      </w:r>
      <w:proofErr w:type="gramEnd"/>
      <w:r w:rsidRPr="00A008EC">
        <w:t>、资源循环相关数据，适配</w:t>
      </w:r>
      <w:r w:rsidRPr="00A008EC">
        <w:t xml:space="preserve"> GRI</w:t>
      </w:r>
      <w:r w:rsidRPr="00A008EC">
        <w:t>、</w:t>
      </w:r>
      <w:r w:rsidRPr="00A008EC">
        <w:t xml:space="preserve">TCFD </w:t>
      </w:r>
      <w:r w:rsidRPr="00A008EC">
        <w:t>等</w:t>
      </w:r>
      <w:r w:rsidRPr="00A008EC">
        <w:t xml:space="preserve"> ESG </w:t>
      </w:r>
      <w:r w:rsidRPr="00A008EC">
        <w:t>报告框架。</w:t>
      </w:r>
      <w:r w:rsidRPr="00A008EC">
        <w:rPr>
          <w:rFonts w:ascii="Times New Roman" w:hAnsi="Times New Roman" w:cs="Times New Roman"/>
        </w:rPr>
        <w:t>​</w:t>
      </w:r>
    </w:p>
    <w:p w14:paraId="14BB984F" w14:textId="77777777" w:rsidR="00A008EC" w:rsidRPr="00A008EC" w:rsidRDefault="00A008EC" w:rsidP="00A008EC">
      <w:pPr>
        <w:ind w:firstLine="560"/>
      </w:pPr>
      <w:r w:rsidRPr="00A008EC">
        <w:t>四、应用场景</w:t>
      </w:r>
      <w:r w:rsidRPr="00A008EC">
        <w:rPr>
          <w:rFonts w:ascii="Times New Roman" w:hAnsi="Times New Roman" w:cs="Times New Roman"/>
        </w:rPr>
        <w:t>​</w:t>
      </w:r>
    </w:p>
    <w:p w14:paraId="7BCECF0F" w14:textId="77777777" w:rsidR="00A008EC" w:rsidRPr="00A008EC" w:rsidRDefault="00A008EC" w:rsidP="00A008EC">
      <w:pPr>
        <w:numPr>
          <w:ilvl w:val="0"/>
          <w:numId w:val="26"/>
        </w:numPr>
        <w:ind w:firstLine="562"/>
      </w:pPr>
      <w:r w:rsidRPr="00A008EC">
        <w:rPr>
          <w:b/>
          <w:bCs/>
        </w:rPr>
        <w:t>生产环节</w:t>
      </w:r>
      <w:r w:rsidRPr="00A008EC">
        <w:t>：原料药合成车间（溶剂使用、反应放热）、制剂车间（干燥、灭菌环节能耗）、辅助系统（空调、空压机能耗）；</w:t>
      </w:r>
      <w:r w:rsidRPr="00A008EC">
        <w:rPr>
          <w:rFonts w:ascii="Times New Roman" w:hAnsi="Times New Roman" w:cs="Times New Roman"/>
        </w:rPr>
        <w:t>​</w:t>
      </w:r>
    </w:p>
    <w:p w14:paraId="47EA73C6" w14:textId="77777777" w:rsidR="00A008EC" w:rsidRPr="00A008EC" w:rsidRDefault="00A008EC" w:rsidP="00A008EC">
      <w:pPr>
        <w:numPr>
          <w:ilvl w:val="0"/>
          <w:numId w:val="27"/>
        </w:numPr>
        <w:ind w:firstLine="562"/>
      </w:pPr>
      <w:r w:rsidRPr="00A008EC">
        <w:rPr>
          <w:b/>
          <w:bCs/>
        </w:rPr>
        <w:t>企业类型</w:t>
      </w:r>
      <w:r w:rsidRPr="00A008EC">
        <w:t>：原料药生产企业（高能耗、高排放）、制剂企业（中等能耗）、生物制品企业（高水耗、高蒸汽消耗）；</w:t>
      </w:r>
      <w:r w:rsidRPr="00A008EC">
        <w:rPr>
          <w:rFonts w:ascii="Times New Roman" w:hAnsi="Times New Roman" w:cs="Times New Roman"/>
        </w:rPr>
        <w:t>​</w:t>
      </w:r>
    </w:p>
    <w:p w14:paraId="0868608E" w14:textId="77777777" w:rsidR="00A008EC" w:rsidRPr="00A008EC" w:rsidRDefault="00A008EC" w:rsidP="00A008EC">
      <w:pPr>
        <w:numPr>
          <w:ilvl w:val="0"/>
          <w:numId w:val="28"/>
        </w:numPr>
        <w:ind w:firstLine="562"/>
      </w:pPr>
      <w:r w:rsidRPr="00A008EC">
        <w:rPr>
          <w:b/>
          <w:bCs/>
        </w:rPr>
        <w:t>认证需求</w:t>
      </w:r>
      <w:r w:rsidRPr="00A008EC">
        <w:t>：申报国家级</w:t>
      </w:r>
      <w:r w:rsidRPr="00A008EC">
        <w:t xml:space="preserve"> / </w:t>
      </w:r>
      <w:r w:rsidRPr="00A008EC">
        <w:t>省级绿色工厂、获取</w:t>
      </w:r>
      <w:r w:rsidRPr="00A008EC">
        <w:t xml:space="preserve"> ESG </w:t>
      </w:r>
      <w:r w:rsidRPr="00A008EC">
        <w:t>高评级（如</w:t>
      </w:r>
      <w:r w:rsidRPr="00A008EC">
        <w:t xml:space="preserve"> MSCI AA </w:t>
      </w:r>
      <w:r w:rsidRPr="00A008EC">
        <w:t>级）、满足客户低碳采购要求（如跨国</w:t>
      </w:r>
      <w:proofErr w:type="gramStart"/>
      <w:r w:rsidRPr="00A008EC">
        <w:t>药企供应</w:t>
      </w:r>
      <w:proofErr w:type="gramEnd"/>
      <w:r w:rsidRPr="00A008EC">
        <w:t>链低碳审核）。</w:t>
      </w:r>
      <w:r w:rsidRPr="00A008EC">
        <w:rPr>
          <w:rFonts w:ascii="Times New Roman" w:hAnsi="Times New Roman" w:cs="Times New Roman"/>
        </w:rPr>
        <w:t>​</w:t>
      </w:r>
    </w:p>
    <w:p w14:paraId="274CD119" w14:textId="77777777" w:rsidR="00A008EC" w:rsidRPr="00A008EC" w:rsidRDefault="00A008EC" w:rsidP="00A008EC">
      <w:pPr>
        <w:ind w:firstLine="560"/>
      </w:pPr>
      <w:r w:rsidRPr="00A008EC">
        <w:t>五、客户价值</w:t>
      </w:r>
      <w:r w:rsidRPr="00A008EC">
        <w:rPr>
          <w:rFonts w:ascii="Times New Roman" w:hAnsi="Times New Roman" w:cs="Times New Roman"/>
        </w:rPr>
        <w:t>​</w:t>
      </w:r>
    </w:p>
    <w:p w14:paraId="48FE77AF" w14:textId="77777777" w:rsidR="00A008EC" w:rsidRPr="00A008EC" w:rsidRDefault="00A008EC" w:rsidP="00A008EC">
      <w:pPr>
        <w:numPr>
          <w:ilvl w:val="0"/>
          <w:numId w:val="29"/>
        </w:numPr>
        <w:ind w:firstLine="562"/>
      </w:pPr>
      <w:r w:rsidRPr="00A008EC">
        <w:rPr>
          <w:b/>
          <w:bCs/>
        </w:rPr>
        <w:t>政策价值</w:t>
      </w:r>
      <w:r w:rsidRPr="00A008EC">
        <w:t>：成功获取绿色工厂认证，享受税收优惠（如</w:t>
      </w:r>
      <w:r w:rsidRPr="00A008EC">
        <w:lastRenderedPageBreak/>
        <w:t>企业所得税减免</w:t>
      </w:r>
      <w:r w:rsidRPr="00A008EC">
        <w:t xml:space="preserve"> 10%</w:t>
      </w:r>
      <w:r w:rsidRPr="00A008EC">
        <w:t>）、地方财政补贴（最高</w:t>
      </w:r>
      <w:r w:rsidRPr="00A008EC">
        <w:t xml:space="preserve"> 500 </w:t>
      </w:r>
      <w:r w:rsidRPr="00A008EC">
        <w:t>万元）；</w:t>
      </w:r>
      <w:r w:rsidRPr="00A008EC">
        <w:rPr>
          <w:rFonts w:ascii="Times New Roman" w:hAnsi="Times New Roman" w:cs="Times New Roman"/>
        </w:rPr>
        <w:t>​</w:t>
      </w:r>
    </w:p>
    <w:p w14:paraId="654258FA" w14:textId="77777777" w:rsidR="00A008EC" w:rsidRPr="00A008EC" w:rsidRDefault="00A008EC" w:rsidP="00A008EC">
      <w:pPr>
        <w:numPr>
          <w:ilvl w:val="0"/>
          <w:numId w:val="30"/>
        </w:numPr>
        <w:ind w:firstLine="562"/>
      </w:pPr>
      <w:r w:rsidRPr="00A008EC">
        <w:rPr>
          <w:b/>
          <w:bCs/>
        </w:rPr>
        <w:t>成本价值</w:t>
      </w:r>
      <w:r w:rsidRPr="00A008EC">
        <w:t>：某原料药企业应用后，年电费节约</w:t>
      </w:r>
      <w:r w:rsidRPr="00A008EC">
        <w:t xml:space="preserve"> 280 </w:t>
      </w:r>
      <w:r w:rsidRPr="00A008EC">
        <w:t>万元（光伏</w:t>
      </w:r>
      <w:r w:rsidRPr="00A008EC">
        <w:t xml:space="preserve"> + </w:t>
      </w:r>
      <w:r w:rsidRPr="00A008EC">
        <w:t>绿电）、溶剂采购成本节约</w:t>
      </w:r>
      <w:r w:rsidRPr="00A008EC">
        <w:t xml:space="preserve"> 600 </w:t>
      </w:r>
      <w:r w:rsidRPr="00A008EC">
        <w:t>万元（回收系统）、水费节约</w:t>
      </w:r>
      <w:r w:rsidRPr="00A008EC">
        <w:t xml:space="preserve"> 120 </w:t>
      </w:r>
      <w:r w:rsidRPr="00A008EC">
        <w:t>万元（中水回用）；</w:t>
      </w:r>
      <w:r w:rsidRPr="00A008EC">
        <w:rPr>
          <w:rFonts w:ascii="Times New Roman" w:hAnsi="Times New Roman" w:cs="Times New Roman"/>
        </w:rPr>
        <w:t>​</w:t>
      </w:r>
    </w:p>
    <w:p w14:paraId="3D5C57F2" w14:textId="77777777" w:rsidR="00A008EC" w:rsidRPr="00A008EC" w:rsidRDefault="00A008EC" w:rsidP="00A008EC">
      <w:pPr>
        <w:numPr>
          <w:ilvl w:val="0"/>
          <w:numId w:val="31"/>
        </w:numPr>
        <w:ind w:firstLine="562"/>
      </w:pPr>
      <w:r w:rsidRPr="00A008EC">
        <w:rPr>
          <w:b/>
          <w:bCs/>
        </w:rPr>
        <w:t>品牌价值</w:t>
      </w:r>
      <w:r w:rsidRPr="00A008EC">
        <w:t>：</w:t>
      </w:r>
      <w:r w:rsidRPr="00A008EC">
        <w:t xml:space="preserve">ESG </w:t>
      </w:r>
      <w:r w:rsidRPr="00A008EC">
        <w:t>评级从</w:t>
      </w:r>
      <w:r w:rsidRPr="00A008EC">
        <w:t xml:space="preserve"> BB </w:t>
      </w:r>
      <w:r w:rsidRPr="00A008EC">
        <w:t>级提升至</w:t>
      </w:r>
      <w:r w:rsidRPr="00A008EC">
        <w:t xml:space="preserve"> A </w:t>
      </w:r>
      <w:r w:rsidRPr="00A008EC">
        <w:t>级，获得跨国药企（</w:t>
      </w:r>
      <w:proofErr w:type="gramStart"/>
      <w:r w:rsidRPr="00A008EC">
        <w:t>如辉瑞</w:t>
      </w:r>
      <w:proofErr w:type="gramEnd"/>
      <w:r w:rsidRPr="00A008EC">
        <w:t>、罗氏）供应链准入资格，订单量增长</w:t>
      </w:r>
      <w:r w:rsidRPr="00A008EC">
        <w:t xml:space="preserve"> 15%</w:t>
      </w:r>
      <w:r w:rsidRPr="00A008EC">
        <w:t>；</w:t>
      </w:r>
      <w:r w:rsidRPr="00A008EC">
        <w:rPr>
          <w:rFonts w:ascii="Times New Roman" w:hAnsi="Times New Roman" w:cs="Times New Roman"/>
        </w:rPr>
        <w:t>​</w:t>
      </w:r>
    </w:p>
    <w:p w14:paraId="1AA6B2B0" w14:textId="77777777" w:rsidR="00A008EC" w:rsidRPr="00A008EC" w:rsidRDefault="00A008EC" w:rsidP="00A008EC">
      <w:pPr>
        <w:numPr>
          <w:ilvl w:val="0"/>
          <w:numId w:val="32"/>
        </w:numPr>
        <w:ind w:firstLine="562"/>
      </w:pPr>
      <w:r w:rsidRPr="00A008EC">
        <w:rPr>
          <w:b/>
          <w:bCs/>
        </w:rPr>
        <w:t>合</w:t>
      </w:r>
      <w:proofErr w:type="gramStart"/>
      <w:r w:rsidRPr="00A008EC">
        <w:rPr>
          <w:b/>
          <w:bCs/>
        </w:rPr>
        <w:t>规</w:t>
      </w:r>
      <w:proofErr w:type="gramEnd"/>
      <w:r w:rsidRPr="00A008EC">
        <w:rPr>
          <w:b/>
          <w:bCs/>
        </w:rPr>
        <w:t>价值</w:t>
      </w:r>
      <w:r w:rsidRPr="00A008EC">
        <w:t>：</w:t>
      </w:r>
      <w:r w:rsidRPr="00A008EC">
        <w:t xml:space="preserve">VOCs </w:t>
      </w:r>
      <w:r w:rsidRPr="00A008EC">
        <w:t>排放浓度稳定控制在</w:t>
      </w:r>
      <w:r w:rsidRPr="00A008EC">
        <w:t xml:space="preserve"> 20mg/m³ </w:t>
      </w:r>
      <w:r w:rsidRPr="00A008EC">
        <w:t>以下（低于国家标准</w:t>
      </w:r>
      <w:r w:rsidRPr="00A008EC">
        <w:t xml:space="preserve"> 60mg/m³</w:t>
      </w:r>
      <w:r w:rsidRPr="00A008EC">
        <w:t>），避免环保处罚，环保投入成本降低</w:t>
      </w:r>
      <w:r w:rsidRPr="00A008EC">
        <w:t xml:space="preserve"> 25%</w:t>
      </w:r>
      <w:r w:rsidRPr="00A008EC">
        <w:t>。</w:t>
      </w:r>
      <w:r w:rsidRPr="00A008EC">
        <w:rPr>
          <w:rFonts w:ascii="Times New Roman" w:hAnsi="Times New Roman" w:cs="Times New Roman"/>
        </w:rPr>
        <w:t>​</w:t>
      </w:r>
    </w:p>
    <w:p w14:paraId="0821C044" w14:textId="77777777" w:rsidR="00A008EC" w:rsidRPr="00A008EC" w:rsidRDefault="00A008EC" w:rsidP="00A008EC">
      <w:pPr>
        <w:ind w:firstLine="560"/>
      </w:pPr>
      <w:r w:rsidRPr="00A008EC">
        <w:t>六、服务与支持</w:t>
      </w:r>
      <w:r w:rsidRPr="00A008EC">
        <w:rPr>
          <w:rFonts w:ascii="Times New Roman" w:hAnsi="Times New Roman" w:cs="Times New Roman"/>
        </w:rPr>
        <w:t>​</w:t>
      </w:r>
    </w:p>
    <w:p w14:paraId="11D99845" w14:textId="77777777" w:rsidR="00A008EC" w:rsidRPr="00A008EC" w:rsidRDefault="00A008EC" w:rsidP="00A008EC">
      <w:pPr>
        <w:numPr>
          <w:ilvl w:val="0"/>
          <w:numId w:val="33"/>
        </w:numPr>
        <w:ind w:firstLine="562"/>
      </w:pPr>
      <w:r w:rsidRPr="00A008EC">
        <w:rPr>
          <w:b/>
          <w:bCs/>
        </w:rPr>
        <w:t>绿色诊断</w:t>
      </w:r>
      <w:r w:rsidRPr="00A008EC">
        <w:t>：组建环保、能源、工艺专家团队，开展企业碳足迹核算、能源审计、环保合</w:t>
      </w:r>
      <w:proofErr w:type="gramStart"/>
      <w:r w:rsidRPr="00A008EC">
        <w:t>规</w:t>
      </w:r>
      <w:proofErr w:type="gramEnd"/>
      <w:r w:rsidRPr="00A008EC">
        <w:t>检查，输出《绿色制造提升报告》；</w:t>
      </w:r>
      <w:r w:rsidRPr="00A008EC">
        <w:rPr>
          <w:rFonts w:ascii="Times New Roman" w:hAnsi="Times New Roman" w:cs="Times New Roman"/>
        </w:rPr>
        <w:t>​</w:t>
      </w:r>
    </w:p>
    <w:p w14:paraId="63B33EF2" w14:textId="77777777" w:rsidR="00A008EC" w:rsidRPr="00A008EC" w:rsidRDefault="00A008EC" w:rsidP="00A008EC">
      <w:pPr>
        <w:numPr>
          <w:ilvl w:val="0"/>
          <w:numId w:val="34"/>
        </w:numPr>
        <w:ind w:firstLine="562"/>
      </w:pPr>
      <w:r w:rsidRPr="00A008EC">
        <w:rPr>
          <w:b/>
          <w:bCs/>
        </w:rPr>
        <w:t>项目实施</w:t>
      </w:r>
      <w:r w:rsidRPr="00A008EC">
        <w:t>：负责光伏电站、中水回用等系统的设计、施工、验收，协调政府部门（</w:t>
      </w:r>
      <w:proofErr w:type="gramStart"/>
      <w:r w:rsidRPr="00A008EC">
        <w:t>如发改委</w:t>
      </w:r>
      <w:proofErr w:type="gramEnd"/>
      <w:r w:rsidRPr="00A008EC">
        <w:t>、环保局）获取项目审批；</w:t>
      </w:r>
      <w:r w:rsidRPr="00A008EC">
        <w:rPr>
          <w:rFonts w:ascii="Times New Roman" w:hAnsi="Times New Roman" w:cs="Times New Roman"/>
        </w:rPr>
        <w:t>​</w:t>
      </w:r>
    </w:p>
    <w:p w14:paraId="6E82A660" w14:textId="77777777" w:rsidR="00A008EC" w:rsidRPr="00A008EC" w:rsidRDefault="00A008EC" w:rsidP="00A008EC">
      <w:pPr>
        <w:numPr>
          <w:ilvl w:val="0"/>
          <w:numId w:val="35"/>
        </w:numPr>
        <w:ind w:firstLine="562"/>
      </w:pPr>
      <w:r w:rsidRPr="00A008EC">
        <w:rPr>
          <w:b/>
          <w:bCs/>
        </w:rPr>
        <w:t>认证协助</w:t>
      </w:r>
      <w:r w:rsidRPr="00A008EC">
        <w:t>：协助企业申报绿色工厂、绿色产品认证，提供申报材料编写、现场审核指导，</w:t>
      </w:r>
      <w:proofErr w:type="gramStart"/>
      <w:r w:rsidRPr="00A008EC">
        <w:t>通过率超</w:t>
      </w:r>
      <w:proofErr w:type="gramEnd"/>
      <w:r w:rsidRPr="00A008EC">
        <w:t xml:space="preserve"> 90%</w:t>
      </w:r>
      <w:r w:rsidRPr="00A008EC">
        <w:t>；</w:t>
      </w:r>
      <w:r w:rsidRPr="00A008EC">
        <w:rPr>
          <w:rFonts w:ascii="Times New Roman" w:hAnsi="Times New Roman" w:cs="Times New Roman"/>
        </w:rPr>
        <w:t>​</w:t>
      </w:r>
    </w:p>
    <w:p w14:paraId="1C4B29D9" w14:textId="7BF40604" w:rsidR="00A008EC" w:rsidRPr="00A008EC" w:rsidRDefault="00A008EC" w:rsidP="00A008EC">
      <w:pPr>
        <w:numPr>
          <w:ilvl w:val="0"/>
          <w:numId w:val="36"/>
        </w:numPr>
        <w:ind w:firstLine="562"/>
        <w:rPr>
          <w:rFonts w:hint="eastAsia"/>
        </w:rPr>
      </w:pPr>
      <w:r w:rsidRPr="00A008EC">
        <w:rPr>
          <w:b/>
          <w:bCs/>
        </w:rPr>
        <w:t>持续服务</w:t>
      </w:r>
      <w:r w:rsidRPr="00A008EC">
        <w:t>：每月监测能源消耗、碳排放数据，每季度输出《绿色制造运行报告》，每年</w:t>
      </w:r>
      <w:proofErr w:type="gramStart"/>
      <w:r w:rsidRPr="00A008EC">
        <w:t>更新减碳方案</w:t>
      </w:r>
      <w:proofErr w:type="gramEnd"/>
      <w:r w:rsidRPr="00A008EC">
        <w:t>（适配新政策、新技术）。</w:t>
      </w:r>
    </w:p>
    <w:sectPr w:rsidR="00A008EC" w:rsidRPr="00A00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B08"/>
    <w:multiLevelType w:val="multilevel"/>
    <w:tmpl w:val="18A6D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65335"/>
    <w:multiLevelType w:val="multilevel"/>
    <w:tmpl w:val="AE36D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87A8B"/>
    <w:multiLevelType w:val="multilevel"/>
    <w:tmpl w:val="166E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42D4E"/>
    <w:multiLevelType w:val="multilevel"/>
    <w:tmpl w:val="8BB0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F62A6"/>
    <w:multiLevelType w:val="multilevel"/>
    <w:tmpl w:val="A1E2E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F5436B"/>
    <w:multiLevelType w:val="multilevel"/>
    <w:tmpl w:val="54EE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95CF3"/>
    <w:multiLevelType w:val="multilevel"/>
    <w:tmpl w:val="4BBA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741D8"/>
    <w:multiLevelType w:val="multilevel"/>
    <w:tmpl w:val="890E8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C6992"/>
    <w:multiLevelType w:val="multilevel"/>
    <w:tmpl w:val="AE50A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A0B64"/>
    <w:multiLevelType w:val="multilevel"/>
    <w:tmpl w:val="66EC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F10F1D"/>
    <w:multiLevelType w:val="multilevel"/>
    <w:tmpl w:val="F3F6E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14E40"/>
    <w:multiLevelType w:val="multilevel"/>
    <w:tmpl w:val="85D4B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023C6"/>
    <w:multiLevelType w:val="multilevel"/>
    <w:tmpl w:val="485A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20741"/>
    <w:multiLevelType w:val="multilevel"/>
    <w:tmpl w:val="E438B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D25D1"/>
    <w:multiLevelType w:val="multilevel"/>
    <w:tmpl w:val="0418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55BD3"/>
    <w:multiLevelType w:val="multilevel"/>
    <w:tmpl w:val="E18EC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0114C"/>
    <w:multiLevelType w:val="multilevel"/>
    <w:tmpl w:val="A2F0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A60B2"/>
    <w:multiLevelType w:val="multilevel"/>
    <w:tmpl w:val="9FF40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5560B6"/>
    <w:multiLevelType w:val="multilevel"/>
    <w:tmpl w:val="00B22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783792"/>
    <w:multiLevelType w:val="multilevel"/>
    <w:tmpl w:val="58F6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0A7C10"/>
    <w:multiLevelType w:val="multilevel"/>
    <w:tmpl w:val="821C1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C03F0A"/>
    <w:multiLevelType w:val="multilevel"/>
    <w:tmpl w:val="563E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0E6FD9"/>
    <w:multiLevelType w:val="multilevel"/>
    <w:tmpl w:val="6EC6FECA"/>
    <w:lvl w:ilvl="0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chineseCountingThousand"/>
      <w:pStyle w:val="3"/>
      <w:isLgl/>
      <w:suff w:val="space"/>
      <w:lvlText w:val="%2.%3"/>
      <w:lvlJc w:val="left"/>
      <w:pPr>
        <w:ind w:left="0" w:firstLine="0"/>
      </w:pPr>
      <w:rPr>
        <w:rFonts w:ascii="仿宋" w:eastAsia="仿宋" w:hAnsi="仿宋" w:hint="eastAsia"/>
      </w:rPr>
    </w:lvl>
    <w:lvl w:ilvl="3">
      <w:start w:val="1"/>
      <w:numFmt w:val="decimal"/>
      <w:pStyle w:val="4"/>
      <w:isLgl/>
      <w:suff w:val="space"/>
      <w:lvlText w:val="%2.%3.%4"/>
      <w:lvlJc w:val="left"/>
      <w:pPr>
        <w:ind w:left="0" w:firstLine="0"/>
      </w:pPr>
      <w:rPr>
        <w:rFonts w:ascii="仿宋" w:eastAsia="仿宋" w:hAnsi="仿宋" w:hint="eastAsia"/>
      </w:rPr>
    </w:lvl>
    <w:lvl w:ilvl="4">
      <w:start w:val="1"/>
      <w:numFmt w:val="decimal"/>
      <w:pStyle w:val="5"/>
      <w:isLgl/>
      <w:suff w:val="space"/>
      <w:lvlText w:val="%2.%3.%4.%5"/>
      <w:lvlJc w:val="left"/>
      <w:pPr>
        <w:ind w:left="0" w:firstLine="0"/>
      </w:pPr>
      <w:rPr>
        <w:rFonts w:eastAsia="仿宋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6EFE4B7D"/>
    <w:multiLevelType w:val="multilevel"/>
    <w:tmpl w:val="624E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4273F8"/>
    <w:multiLevelType w:val="multilevel"/>
    <w:tmpl w:val="91F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91697B"/>
    <w:multiLevelType w:val="multilevel"/>
    <w:tmpl w:val="E054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224A5"/>
    <w:multiLevelType w:val="multilevel"/>
    <w:tmpl w:val="16C6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A05198"/>
    <w:multiLevelType w:val="multilevel"/>
    <w:tmpl w:val="1696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C7D75"/>
    <w:multiLevelType w:val="multilevel"/>
    <w:tmpl w:val="A288E9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C85D0D"/>
    <w:multiLevelType w:val="multilevel"/>
    <w:tmpl w:val="13027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7D7364"/>
    <w:multiLevelType w:val="multilevel"/>
    <w:tmpl w:val="2738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44082D"/>
    <w:multiLevelType w:val="multilevel"/>
    <w:tmpl w:val="90544C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699486">
    <w:abstractNumId w:val="22"/>
  </w:num>
  <w:num w:numId="2" w16cid:durableId="2042782357">
    <w:abstractNumId w:val="22"/>
  </w:num>
  <w:num w:numId="3" w16cid:durableId="2057049675">
    <w:abstractNumId w:val="22"/>
  </w:num>
  <w:num w:numId="4" w16cid:durableId="383675710">
    <w:abstractNumId w:val="22"/>
  </w:num>
  <w:num w:numId="5" w16cid:durableId="496771221">
    <w:abstractNumId w:val="22"/>
  </w:num>
  <w:num w:numId="6" w16cid:durableId="858274349">
    <w:abstractNumId w:val="18"/>
  </w:num>
  <w:num w:numId="7" w16cid:durableId="928390672">
    <w:abstractNumId w:val="0"/>
  </w:num>
  <w:num w:numId="8" w16cid:durableId="929200579">
    <w:abstractNumId w:val="7"/>
  </w:num>
  <w:num w:numId="9" w16cid:durableId="717509934">
    <w:abstractNumId w:val="4"/>
  </w:num>
  <w:num w:numId="10" w16cid:durableId="310789209">
    <w:abstractNumId w:val="6"/>
  </w:num>
  <w:num w:numId="11" w16cid:durableId="192886249">
    <w:abstractNumId w:val="16"/>
  </w:num>
  <w:num w:numId="12" w16cid:durableId="1758550315">
    <w:abstractNumId w:val="25"/>
  </w:num>
  <w:num w:numId="13" w16cid:durableId="184682226">
    <w:abstractNumId w:val="3"/>
  </w:num>
  <w:num w:numId="14" w16cid:durableId="1246911806">
    <w:abstractNumId w:val="8"/>
  </w:num>
  <w:num w:numId="15" w16cid:durableId="460417584">
    <w:abstractNumId w:val="21"/>
  </w:num>
  <w:num w:numId="16" w16cid:durableId="728309752">
    <w:abstractNumId w:val="24"/>
  </w:num>
  <w:num w:numId="17" w16cid:durableId="1937326056">
    <w:abstractNumId w:val="12"/>
  </w:num>
  <w:num w:numId="18" w16cid:durableId="909540416">
    <w:abstractNumId w:val="17"/>
  </w:num>
  <w:num w:numId="19" w16cid:durableId="39061061">
    <w:abstractNumId w:val="2"/>
  </w:num>
  <w:num w:numId="20" w16cid:durableId="1056978019">
    <w:abstractNumId w:val="14"/>
  </w:num>
  <w:num w:numId="21" w16cid:durableId="1304431542">
    <w:abstractNumId w:val="23"/>
  </w:num>
  <w:num w:numId="22" w16cid:durableId="810052090">
    <w:abstractNumId w:val="28"/>
  </w:num>
  <w:num w:numId="23" w16cid:durableId="16930347">
    <w:abstractNumId w:val="30"/>
  </w:num>
  <w:num w:numId="24" w16cid:durableId="1567373268">
    <w:abstractNumId w:val="27"/>
  </w:num>
  <w:num w:numId="25" w16cid:durableId="1499999577">
    <w:abstractNumId w:val="5"/>
  </w:num>
  <w:num w:numId="26" w16cid:durableId="2060278742">
    <w:abstractNumId w:val="26"/>
  </w:num>
  <w:num w:numId="27" w16cid:durableId="558564766">
    <w:abstractNumId w:val="20"/>
  </w:num>
  <w:num w:numId="28" w16cid:durableId="56167945">
    <w:abstractNumId w:val="10"/>
  </w:num>
  <w:num w:numId="29" w16cid:durableId="1964261561">
    <w:abstractNumId w:val="9"/>
  </w:num>
  <w:num w:numId="30" w16cid:durableId="2052607846">
    <w:abstractNumId w:val="13"/>
  </w:num>
  <w:num w:numId="31" w16cid:durableId="1813668683">
    <w:abstractNumId w:val="15"/>
  </w:num>
  <w:num w:numId="32" w16cid:durableId="854540918">
    <w:abstractNumId w:val="29"/>
  </w:num>
  <w:num w:numId="33" w16cid:durableId="575045263">
    <w:abstractNumId w:val="19"/>
  </w:num>
  <w:num w:numId="34" w16cid:durableId="114570082">
    <w:abstractNumId w:val="1"/>
  </w:num>
  <w:num w:numId="35" w16cid:durableId="476655793">
    <w:abstractNumId w:val="31"/>
  </w:num>
  <w:num w:numId="36" w16cid:durableId="935988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80"/>
    <w:rsid w:val="000D4873"/>
    <w:rsid w:val="00416DD7"/>
    <w:rsid w:val="00446880"/>
    <w:rsid w:val="00746292"/>
    <w:rsid w:val="0099447A"/>
    <w:rsid w:val="00A008EC"/>
    <w:rsid w:val="00B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75E97"/>
  <w15:chartTrackingRefBased/>
  <w15:docId w15:val="{7E290694-8C60-4379-BA19-B1CAE123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D7"/>
    <w:pPr>
      <w:widowControl w:val="0"/>
      <w:wordWrap w:val="0"/>
      <w:spacing w:after="0" w:line="360" w:lineRule="auto"/>
      <w:ind w:firstLineChars="200" w:firstLine="200"/>
      <w:contextualSpacing/>
      <w:jc w:val="both"/>
    </w:pPr>
    <w:rPr>
      <w:rFonts w:eastAsia="宋体"/>
      <w:kern w:val="28"/>
      <w:sz w:val="28"/>
      <w14:ligatures w14:val="none"/>
    </w:rPr>
  </w:style>
  <w:style w:type="paragraph" w:styleId="1">
    <w:name w:val="heading 1"/>
    <w:next w:val="a"/>
    <w:link w:val="10"/>
    <w:qFormat/>
    <w:rsid w:val="00416DD7"/>
    <w:pPr>
      <w:keepNext/>
      <w:keepLines/>
      <w:numPr>
        <w:numId w:val="5"/>
      </w:numPr>
      <w:snapToGrid w:val="0"/>
      <w:spacing w:after="0" w:line="560" w:lineRule="exact"/>
      <w:outlineLvl w:val="0"/>
    </w:pPr>
    <w:rPr>
      <w:rFonts w:eastAsiaTheme="majorEastAsia"/>
      <w:kern w:val="44"/>
      <w:sz w:val="44"/>
      <w14:ligatures w14:val="none"/>
    </w:rPr>
  </w:style>
  <w:style w:type="paragraph" w:styleId="2">
    <w:name w:val="heading 2"/>
    <w:next w:val="a"/>
    <w:link w:val="20"/>
    <w:unhideWhenUsed/>
    <w:qFormat/>
    <w:rsid w:val="00416DD7"/>
    <w:pPr>
      <w:keepNext/>
      <w:keepLines/>
      <w:numPr>
        <w:ilvl w:val="1"/>
        <w:numId w:val="5"/>
      </w:numPr>
      <w:spacing w:after="0" w:line="560" w:lineRule="exact"/>
      <w:outlineLvl w:val="1"/>
    </w:pPr>
    <w:rPr>
      <w:rFonts w:ascii="Arial" w:eastAsia="黑体" w:hAnsi="Arial"/>
      <w:sz w:val="36"/>
      <w14:ligatures w14:val="none"/>
    </w:rPr>
  </w:style>
  <w:style w:type="paragraph" w:styleId="3">
    <w:name w:val="heading 3"/>
    <w:next w:val="a"/>
    <w:link w:val="30"/>
    <w:unhideWhenUsed/>
    <w:qFormat/>
    <w:rsid w:val="00416DD7"/>
    <w:pPr>
      <w:keepNext/>
      <w:keepLines/>
      <w:numPr>
        <w:ilvl w:val="2"/>
        <w:numId w:val="5"/>
      </w:numPr>
      <w:spacing w:after="0" w:line="560" w:lineRule="exact"/>
      <w:outlineLvl w:val="2"/>
    </w:pPr>
    <w:rPr>
      <w:rFonts w:ascii="宋体" w:eastAsia="宋体" w:hAnsi="宋体" w:cs="宋体"/>
      <w:iCs/>
      <w:sz w:val="32"/>
      <w14:ligatures w14:val="none"/>
    </w:rPr>
  </w:style>
  <w:style w:type="paragraph" w:styleId="4">
    <w:name w:val="heading 4"/>
    <w:next w:val="a"/>
    <w:link w:val="40"/>
    <w:unhideWhenUsed/>
    <w:qFormat/>
    <w:rsid w:val="00416DD7"/>
    <w:pPr>
      <w:keepNext/>
      <w:keepLines/>
      <w:numPr>
        <w:ilvl w:val="3"/>
        <w:numId w:val="5"/>
      </w:numPr>
      <w:spacing w:before="120" w:after="120" w:line="377" w:lineRule="auto"/>
      <w:outlineLvl w:val="3"/>
    </w:pPr>
    <w:rPr>
      <w:rFonts w:ascii="宋体" w:eastAsia="宋体" w:hAnsi="宋体" w:cs="宋体"/>
      <w:bCs/>
      <w:sz w:val="32"/>
      <w:szCs w:val="28"/>
      <w14:ligatures w14:val="none"/>
    </w:rPr>
  </w:style>
  <w:style w:type="paragraph" w:styleId="5">
    <w:name w:val="heading 5"/>
    <w:next w:val="a"/>
    <w:link w:val="50"/>
    <w:unhideWhenUsed/>
    <w:qFormat/>
    <w:rsid w:val="00416DD7"/>
    <w:pPr>
      <w:keepNext/>
      <w:keepLines/>
      <w:numPr>
        <w:ilvl w:val="4"/>
        <w:numId w:val="5"/>
      </w:numPr>
      <w:spacing w:before="280" w:after="290" w:line="376" w:lineRule="auto"/>
      <w:outlineLvl w:val="4"/>
    </w:pPr>
    <w:rPr>
      <w:rFonts w:ascii="仿宋" w:eastAsia="仿宋_GB2312" w:hAnsi="仿宋"/>
      <w:bCs/>
      <w:sz w:val="32"/>
      <w:szCs w:val="28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880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880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880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8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16DD7"/>
    <w:rPr>
      <w:rFonts w:eastAsiaTheme="majorEastAsia"/>
      <w:kern w:val="44"/>
      <w:sz w:val="44"/>
      <w14:ligatures w14:val="none"/>
    </w:rPr>
  </w:style>
  <w:style w:type="character" w:customStyle="1" w:styleId="20">
    <w:name w:val="标题 2 字符"/>
    <w:basedOn w:val="a0"/>
    <w:link w:val="2"/>
    <w:qFormat/>
    <w:rsid w:val="00416DD7"/>
    <w:rPr>
      <w:rFonts w:ascii="Arial" w:eastAsia="黑体" w:hAnsi="Arial"/>
      <w:sz w:val="36"/>
      <w14:ligatures w14:val="none"/>
    </w:rPr>
  </w:style>
  <w:style w:type="character" w:customStyle="1" w:styleId="30">
    <w:name w:val="标题 3 字符"/>
    <w:basedOn w:val="a0"/>
    <w:link w:val="3"/>
    <w:rsid w:val="00416DD7"/>
    <w:rPr>
      <w:rFonts w:ascii="宋体" w:eastAsia="宋体" w:hAnsi="宋体" w:cs="宋体"/>
      <w:iCs/>
      <w:sz w:val="32"/>
      <w14:ligatures w14:val="none"/>
    </w:rPr>
  </w:style>
  <w:style w:type="character" w:customStyle="1" w:styleId="40">
    <w:name w:val="标题 4 字符"/>
    <w:basedOn w:val="a0"/>
    <w:link w:val="4"/>
    <w:qFormat/>
    <w:rsid w:val="00416DD7"/>
    <w:rPr>
      <w:rFonts w:ascii="宋体" w:eastAsia="宋体" w:hAnsi="宋体" w:cs="宋体"/>
      <w:bCs/>
      <w:sz w:val="32"/>
      <w:szCs w:val="28"/>
      <w14:ligatures w14:val="none"/>
    </w:rPr>
  </w:style>
  <w:style w:type="character" w:customStyle="1" w:styleId="50">
    <w:name w:val="标题 5 字符"/>
    <w:basedOn w:val="a0"/>
    <w:link w:val="5"/>
    <w:qFormat/>
    <w:rsid w:val="00416DD7"/>
    <w:rPr>
      <w:rFonts w:ascii="仿宋" w:eastAsia="仿宋_GB2312" w:hAnsi="仿宋"/>
      <w:bCs/>
      <w:sz w:val="32"/>
      <w:szCs w:val="28"/>
      <w14:ligatures w14:val="none"/>
    </w:rPr>
  </w:style>
  <w:style w:type="paragraph" w:styleId="a3">
    <w:name w:val="Body Text Indent"/>
    <w:basedOn w:val="a"/>
    <w:link w:val="a4"/>
    <w:uiPriority w:val="99"/>
    <w:semiHidden/>
    <w:unhideWhenUsed/>
    <w:rsid w:val="00416DD7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416DD7"/>
  </w:style>
  <w:style w:type="paragraph" w:styleId="21">
    <w:name w:val="Body Text First Indent 2"/>
    <w:basedOn w:val="a3"/>
    <w:link w:val="22"/>
    <w:qFormat/>
    <w:rsid w:val="00416DD7"/>
    <w:pPr>
      <w:spacing w:after="0" w:line="240" w:lineRule="auto"/>
      <w:ind w:leftChars="0" w:left="0"/>
    </w:pPr>
    <w:rPr>
      <w:rFonts w:ascii="Times New Roman" w:hAnsi="Times New Roman" w:cs="Times New Roman"/>
      <w:sz w:val="24"/>
    </w:rPr>
  </w:style>
  <w:style w:type="character" w:customStyle="1" w:styleId="22">
    <w:name w:val="正文文本首行缩进 2 字符"/>
    <w:basedOn w:val="a4"/>
    <w:link w:val="21"/>
    <w:rsid w:val="00416DD7"/>
    <w:rPr>
      <w:rFonts w:ascii="Times New Roman" w:hAnsi="Times New Roman" w:cs="Times New Roman"/>
      <w:kern w:val="28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446880"/>
    <w:rPr>
      <w:rFonts w:cstheme="majorBidi"/>
      <w:b/>
      <w:bCs/>
      <w:color w:val="0F4761" w:themeColor="accent1" w:themeShade="BF"/>
      <w:kern w:val="28"/>
      <w:sz w:val="28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446880"/>
    <w:rPr>
      <w:rFonts w:cstheme="majorBidi"/>
      <w:b/>
      <w:bCs/>
      <w:color w:val="595959" w:themeColor="text1" w:themeTint="A6"/>
      <w:kern w:val="28"/>
      <w:sz w:val="28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446880"/>
    <w:rPr>
      <w:rFonts w:cstheme="majorBidi"/>
      <w:color w:val="595959" w:themeColor="text1" w:themeTint="A6"/>
      <w:kern w:val="28"/>
      <w:sz w:val="28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446880"/>
    <w:rPr>
      <w:rFonts w:eastAsiaTheme="majorEastAsia" w:cstheme="majorBidi"/>
      <w:color w:val="595959" w:themeColor="text1" w:themeTint="A6"/>
      <w:kern w:val="28"/>
      <w:sz w:val="28"/>
      <w14:ligatures w14:val="none"/>
    </w:rPr>
  </w:style>
  <w:style w:type="paragraph" w:styleId="a5">
    <w:name w:val="Title"/>
    <w:basedOn w:val="a"/>
    <w:next w:val="a"/>
    <w:link w:val="a6"/>
    <w:uiPriority w:val="10"/>
    <w:qFormat/>
    <w:rsid w:val="00446880"/>
    <w:pPr>
      <w:spacing w:after="80" w:line="240" w:lineRule="auto"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44688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7">
    <w:name w:val="Subtitle"/>
    <w:basedOn w:val="a"/>
    <w:next w:val="a"/>
    <w:link w:val="a8"/>
    <w:uiPriority w:val="11"/>
    <w:qFormat/>
    <w:rsid w:val="00446880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8">
    <w:name w:val="副标题 字符"/>
    <w:basedOn w:val="a0"/>
    <w:link w:val="a7"/>
    <w:uiPriority w:val="11"/>
    <w:rsid w:val="00446880"/>
    <w:rPr>
      <w:rFonts w:asciiTheme="majorHAnsi" w:eastAsiaTheme="majorEastAsia" w:hAnsiTheme="majorHAnsi" w:cstheme="majorBidi"/>
      <w:color w:val="595959" w:themeColor="text1" w:themeTint="A6"/>
      <w:spacing w:val="15"/>
      <w:kern w:val="28"/>
      <w:sz w:val="28"/>
      <w:szCs w:val="28"/>
      <w14:ligatures w14:val="none"/>
    </w:rPr>
  </w:style>
  <w:style w:type="paragraph" w:styleId="a9">
    <w:name w:val="Quote"/>
    <w:basedOn w:val="a"/>
    <w:next w:val="a"/>
    <w:link w:val="aa"/>
    <w:uiPriority w:val="29"/>
    <w:qFormat/>
    <w:rsid w:val="004468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446880"/>
    <w:rPr>
      <w:rFonts w:eastAsia="宋体"/>
      <w:i/>
      <w:iCs/>
      <w:color w:val="404040" w:themeColor="text1" w:themeTint="BF"/>
      <w:kern w:val="28"/>
      <w:sz w:val="28"/>
      <w14:ligatures w14:val="none"/>
    </w:rPr>
  </w:style>
  <w:style w:type="paragraph" w:styleId="ab">
    <w:name w:val="List Paragraph"/>
    <w:basedOn w:val="a"/>
    <w:uiPriority w:val="34"/>
    <w:qFormat/>
    <w:rsid w:val="00446880"/>
    <w:pPr>
      <w:ind w:left="720"/>
    </w:pPr>
  </w:style>
  <w:style w:type="character" w:styleId="ac">
    <w:name w:val="Intense Emphasis"/>
    <w:basedOn w:val="a0"/>
    <w:uiPriority w:val="21"/>
    <w:qFormat/>
    <w:rsid w:val="00446880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446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446880"/>
    <w:rPr>
      <w:rFonts w:eastAsia="宋体"/>
      <w:i/>
      <w:iCs/>
      <w:color w:val="0F4761" w:themeColor="accent1" w:themeShade="BF"/>
      <w:kern w:val="28"/>
      <w:sz w:val="28"/>
      <w14:ligatures w14:val="none"/>
    </w:rPr>
  </w:style>
  <w:style w:type="character" w:styleId="af">
    <w:name w:val="Intense Reference"/>
    <w:basedOn w:val="a0"/>
    <w:uiPriority w:val="32"/>
    <w:qFormat/>
    <w:rsid w:val="00446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e52935</dc:creator>
  <cp:keywords/>
  <dc:description/>
  <cp:lastModifiedBy>e52935</cp:lastModifiedBy>
  <cp:revision>2</cp:revision>
  <dcterms:created xsi:type="dcterms:W3CDTF">2025-10-22T01:45:00Z</dcterms:created>
  <dcterms:modified xsi:type="dcterms:W3CDTF">2025-10-22T01:45:00Z</dcterms:modified>
</cp:coreProperties>
</file>